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方正大标宋简体" w:hAnsi="方正大标宋简体" w:eastAsia="方正大标宋简体" w:cs="方正大标宋简体"/>
          <w:sz w:val="44"/>
          <w:szCs w:val="44"/>
        </w:rPr>
      </w:pPr>
      <w:r>
        <w:rPr>
          <w:rFonts w:hint="eastAsia" w:ascii="方正大标宋简体" w:hAnsi="方正大标宋简体" w:eastAsia="方正大标宋简体" w:cs="方正大标宋简体"/>
          <w:color w:val="000000"/>
          <w:kern w:val="0"/>
          <w:sz w:val="44"/>
          <w:szCs w:val="44"/>
          <w:lang w:val="en-US" w:eastAsia="zh-CN" w:bidi="ar"/>
        </w:rPr>
        <w:t>山东省企业培训考试中心有限公司</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大标宋简体" w:hAnsi="方正大标宋简体" w:eastAsia="方正大标宋简体" w:cs="方正大标宋简体"/>
          <w:sz w:val="44"/>
          <w:szCs w:val="44"/>
        </w:rPr>
      </w:pPr>
      <w:r>
        <w:rPr>
          <w:rFonts w:hint="eastAsia" w:ascii="方正大标宋简体" w:hAnsi="方正大标宋简体" w:eastAsia="方正大标宋简体" w:cs="方正大标宋简体"/>
          <w:sz w:val="44"/>
          <w:szCs w:val="44"/>
        </w:rPr>
        <w:t>202</w:t>
      </w:r>
      <w:r>
        <w:rPr>
          <w:rFonts w:hint="eastAsia" w:ascii="方正大标宋简体" w:hAnsi="方正大标宋简体" w:eastAsia="方正大标宋简体" w:cs="方正大标宋简体"/>
          <w:sz w:val="44"/>
          <w:szCs w:val="44"/>
          <w:lang w:val="en-US" w:eastAsia="zh-CN"/>
        </w:rPr>
        <w:t>3</w:t>
      </w:r>
      <w:r>
        <w:rPr>
          <w:rFonts w:hint="eastAsia" w:ascii="方正大标宋简体" w:hAnsi="方正大标宋简体" w:eastAsia="方正大标宋简体" w:cs="方正大标宋简体"/>
          <w:sz w:val="44"/>
          <w:szCs w:val="44"/>
        </w:rPr>
        <w:t>年公开信息</w:t>
      </w:r>
    </w:p>
    <w:p>
      <w:pPr>
        <w:rPr>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rFonts w:ascii="黑体" w:eastAsia="黑体"/>
          <w:sz w:val="32"/>
          <w:szCs w:val="32"/>
        </w:rPr>
      </w:pPr>
      <w:r>
        <w:rPr>
          <w:rFonts w:hint="eastAsia" w:ascii="黑体" w:eastAsia="黑体"/>
          <w:sz w:val="32"/>
          <w:szCs w:val="32"/>
        </w:rPr>
        <w:t xml:space="preserve">一、企业基本信息 </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楷体" w:hAnsi="楷体" w:eastAsia="楷体" w:cs="楷体"/>
          <w:sz w:val="32"/>
          <w:szCs w:val="32"/>
        </w:rPr>
      </w:pPr>
      <w:r>
        <w:rPr>
          <w:rFonts w:hint="eastAsia" w:ascii="楷体" w:hAnsi="楷体" w:eastAsia="楷体" w:cs="楷体"/>
          <w:sz w:val="32"/>
          <w:szCs w:val="32"/>
        </w:rPr>
        <w:t xml:space="preserve">（一）企业基本信息 </w:t>
      </w:r>
    </w:p>
    <w:p>
      <w:pPr>
        <w:keepNext w:val="0"/>
        <w:keepLines w:val="0"/>
        <w:pageBreakBefore w:val="0"/>
        <w:kinsoku/>
        <w:wordWrap/>
        <w:overflowPunct/>
        <w:topLinePunct w:val="0"/>
        <w:autoSpaceDE/>
        <w:autoSpaceDN/>
        <w:bidi w:val="0"/>
        <w:adjustRightInd/>
        <w:snapToGrid/>
        <w:spacing w:line="560" w:lineRule="exact"/>
        <w:textAlignment w:val="auto"/>
        <w:rPr>
          <w:rFonts w:ascii="仿宋_GB2312" w:eastAsia="仿宋_GB2312"/>
          <w:sz w:val="32"/>
          <w:szCs w:val="32"/>
        </w:rPr>
      </w:pPr>
      <w:r>
        <w:rPr>
          <w:rFonts w:hint="eastAsia" w:ascii="仿宋_GB2312" w:eastAsia="仿宋_GB2312"/>
          <w:sz w:val="32"/>
          <w:szCs w:val="32"/>
        </w:rPr>
        <w:t>公司名称：</w:t>
      </w:r>
      <w:r>
        <w:rPr>
          <w:rFonts w:hint="eastAsia" w:ascii="仿宋_GB2312" w:eastAsia="仿宋_GB2312"/>
          <w:sz w:val="32"/>
          <w:szCs w:val="32"/>
          <w:lang w:val="en-US" w:eastAsia="zh-CN"/>
        </w:rPr>
        <w:t>山东省企业培训考试中心有限公司</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eastAsia="仿宋_GB2312"/>
          <w:sz w:val="32"/>
          <w:szCs w:val="32"/>
          <w:lang w:val="en-US" w:eastAsia="zh-CN"/>
        </w:rPr>
      </w:pPr>
      <w:r>
        <w:rPr>
          <w:rFonts w:hint="eastAsia" w:ascii="仿宋_GB2312" w:eastAsia="仿宋_GB2312"/>
          <w:sz w:val="32"/>
          <w:szCs w:val="32"/>
        </w:rPr>
        <w:t>法定代表人：</w:t>
      </w:r>
      <w:r>
        <w:rPr>
          <w:rFonts w:hint="eastAsia" w:ascii="仿宋_GB2312" w:eastAsia="仿宋_GB2312"/>
          <w:sz w:val="32"/>
          <w:szCs w:val="32"/>
          <w:lang w:val="en-US" w:eastAsia="zh-CN"/>
        </w:rPr>
        <w:t>亓楠楠</w:t>
      </w:r>
    </w:p>
    <w:p>
      <w:pPr>
        <w:keepNext w:val="0"/>
        <w:keepLines w:val="0"/>
        <w:pageBreakBefore w:val="0"/>
        <w:kinsoku/>
        <w:wordWrap/>
        <w:overflowPunct/>
        <w:topLinePunct w:val="0"/>
        <w:autoSpaceDE/>
        <w:autoSpaceDN/>
        <w:bidi w:val="0"/>
        <w:adjustRightInd/>
        <w:snapToGrid/>
        <w:spacing w:line="560" w:lineRule="exact"/>
        <w:textAlignment w:val="auto"/>
        <w:rPr>
          <w:rFonts w:ascii="仿宋_GB2312" w:eastAsia="仿宋_GB2312"/>
          <w:sz w:val="32"/>
          <w:szCs w:val="32"/>
        </w:rPr>
      </w:pPr>
      <w:r>
        <w:rPr>
          <w:rFonts w:hint="eastAsia" w:ascii="仿宋_GB2312" w:eastAsia="仿宋_GB2312"/>
          <w:sz w:val="32"/>
          <w:szCs w:val="32"/>
        </w:rPr>
        <w:t>统一社会信用代码：913701027337089892</w:t>
      </w:r>
    </w:p>
    <w:p>
      <w:pPr>
        <w:keepNext w:val="0"/>
        <w:keepLines w:val="0"/>
        <w:pageBreakBefore w:val="0"/>
        <w:kinsoku/>
        <w:wordWrap/>
        <w:overflowPunct/>
        <w:topLinePunct w:val="0"/>
        <w:autoSpaceDE/>
        <w:autoSpaceDN/>
        <w:bidi w:val="0"/>
        <w:adjustRightInd/>
        <w:snapToGrid/>
        <w:spacing w:line="560" w:lineRule="exact"/>
        <w:textAlignment w:val="auto"/>
        <w:rPr>
          <w:rFonts w:hint="default" w:ascii="仿宋_GB2312" w:eastAsia="仿宋_GB2312"/>
          <w:sz w:val="32"/>
          <w:szCs w:val="32"/>
          <w:lang w:val="en-US" w:eastAsia="zh-CN"/>
        </w:rPr>
      </w:pPr>
      <w:r>
        <w:rPr>
          <w:rFonts w:hint="eastAsia" w:ascii="仿宋_GB2312" w:eastAsia="仿宋_GB2312"/>
          <w:sz w:val="32"/>
          <w:szCs w:val="32"/>
        </w:rPr>
        <w:t>注册资本：</w:t>
      </w:r>
      <w:r>
        <w:rPr>
          <w:rFonts w:hint="eastAsia" w:ascii="仿宋_GB2312" w:eastAsia="仿宋_GB2312"/>
          <w:sz w:val="32"/>
          <w:szCs w:val="32"/>
          <w:lang w:val="en-US" w:eastAsia="zh-CN"/>
        </w:rPr>
        <w:t>300万元</w:t>
      </w:r>
    </w:p>
    <w:p>
      <w:pPr>
        <w:keepNext w:val="0"/>
        <w:keepLines w:val="0"/>
        <w:pageBreakBefore w:val="0"/>
        <w:kinsoku/>
        <w:wordWrap/>
        <w:overflowPunct/>
        <w:topLinePunct w:val="0"/>
        <w:autoSpaceDE/>
        <w:autoSpaceDN/>
        <w:bidi w:val="0"/>
        <w:adjustRightInd/>
        <w:snapToGrid/>
        <w:spacing w:line="560" w:lineRule="exact"/>
        <w:textAlignment w:val="auto"/>
        <w:rPr>
          <w:rFonts w:ascii="仿宋_GB2312" w:eastAsia="仿宋_GB2312"/>
          <w:sz w:val="32"/>
          <w:szCs w:val="32"/>
        </w:rPr>
      </w:pPr>
      <w:r>
        <w:rPr>
          <w:rFonts w:hint="eastAsia" w:ascii="仿宋_GB2312" w:eastAsia="仿宋_GB2312"/>
          <w:sz w:val="32"/>
          <w:szCs w:val="32"/>
        </w:rPr>
        <w:t>注册地址：济南市历下区解放路26号2号楼505室</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eastAsia="仿宋_GB2312"/>
          <w:sz w:val="32"/>
          <w:szCs w:val="32"/>
        </w:rPr>
      </w:pPr>
      <w:r>
        <w:rPr>
          <w:rFonts w:hint="eastAsia" w:ascii="仿宋_GB2312" w:eastAsia="仿宋_GB2312"/>
          <w:sz w:val="32"/>
          <w:szCs w:val="32"/>
        </w:rPr>
        <w:t>经营范围：组织国家经贸委统考课程考试；组织中外合资企业中方国有股权代表及高级经营者资格证书培训考试；组织工商管理课程自学考试；企业培训考试。</w:t>
      </w:r>
    </w:p>
    <w:p>
      <w:pPr>
        <w:keepNext w:val="0"/>
        <w:keepLines w:val="0"/>
        <w:pageBreakBefore w:val="0"/>
        <w:kinsoku/>
        <w:wordWrap/>
        <w:overflowPunct/>
        <w:topLinePunct w:val="0"/>
        <w:autoSpaceDE/>
        <w:autoSpaceDN/>
        <w:bidi w:val="0"/>
        <w:adjustRightInd/>
        <w:snapToGrid/>
        <w:spacing w:line="560" w:lineRule="exact"/>
        <w:textAlignment w:val="auto"/>
        <w:rPr>
          <w:rFonts w:hint="default" w:ascii="仿宋_GB2312" w:eastAsia="仿宋_GB2312"/>
          <w:sz w:val="32"/>
          <w:szCs w:val="32"/>
          <w:lang w:val="en-US" w:eastAsia="zh-CN"/>
        </w:rPr>
      </w:pPr>
      <w:r>
        <w:rPr>
          <w:rFonts w:hint="eastAsia" w:ascii="仿宋_GB2312" w:eastAsia="仿宋_GB2312"/>
          <w:sz w:val="32"/>
          <w:szCs w:val="32"/>
        </w:rPr>
        <w:t>办公地址：济南市历下区解放路26号2号楼505室</w:t>
      </w:r>
    </w:p>
    <w:p>
      <w:pPr>
        <w:keepNext w:val="0"/>
        <w:keepLines w:val="0"/>
        <w:pageBreakBefore w:val="0"/>
        <w:kinsoku/>
        <w:wordWrap/>
        <w:overflowPunct/>
        <w:topLinePunct w:val="0"/>
        <w:autoSpaceDE/>
        <w:autoSpaceDN/>
        <w:bidi w:val="0"/>
        <w:adjustRightInd/>
        <w:snapToGrid/>
        <w:spacing w:line="560" w:lineRule="exact"/>
        <w:textAlignment w:val="auto"/>
        <w:rPr>
          <w:rFonts w:ascii="仿宋_GB2312" w:eastAsia="仿宋_GB2312"/>
          <w:sz w:val="32"/>
          <w:szCs w:val="32"/>
        </w:rPr>
      </w:pPr>
      <w:r>
        <w:rPr>
          <w:rFonts w:hint="eastAsia" w:ascii="仿宋_GB2312" w:eastAsia="仿宋_GB2312"/>
          <w:sz w:val="32"/>
          <w:szCs w:val="32"/>
        </w:rPr>
        <w:t>邮政编码：</w:t>
      </w:r>
      <w:r>
        <w:rPr>
          <w:rFonts w:hint="eastAsia" w:ascii="仿宋_GB2312" w:eastAsia="仿宋_GB2312"/>
          <w:sz w:val="32"/>
          <w:szCs w:val="32"/>
          <w:lang w:val="en-US" w:eastAsia="zh-CN"/>
        </w:rPr>
        <w:t>250000</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楷体" w:hAnsi="楷体" w:eastAsia="楷体" w:cs="楷体"/>
          <w:sz w:val="32"/>
          <w:szCs w:val="32"/>
        </w:rPr>
      </w:pPr>
      <w:r>
        <w:rPr>
          <w:rFonts w:hint="eastAsia" w:ascii="楷体" w:hAnsi="楷体" w:eastAsia="楷体" w:cs="楷体"/>
          <w:sz w:val="32"/>
          <w:szCs w:val="32"/>
        </w:rPr>
        <w:t>（二）公司简介</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eastAsia="仿宋_GB2312"/>
          <w:sz w:val="32"/>
          <w:szCs w:val="32"/>
          <w:lang w:val="en-US" w:eastAsia="zh-CN"/>
        </w:rPr>
      </w:pPr>
      <w:r>
        <w:rPr>
          <w:rFonts w:hint="eastAsia" w:ascii="仿宋_GB2312" w:eastAsia="仿宋_GB2312"/>
          <w:sz w:val="32"/>
          <w:szCs w:val="32"/>
        </w:rPr>
        <w:t>公司股东：</w:t>
      </w:r>
      <w:r>
        <w:rPr>
          <w:rFonts w:hint="eastAsia" w:ascii="仿宋_GB2312" w:eastAsia="仿宋_GB2312"/>
          <w:sz w:val="32"/>
          <w:szCs w:val="32"/>
          <w:lang w:val="en-US" w:eastAsia="zh-CN"/>
        </w:rPr>
        <w:t>山东交运旅游集团有限公司</w:t>
      </w:r>
    </w:p>
    <w:p>
      <w:pPr>
        <w:keepNext w:val="0"/>
        <w:keepLines w:val="0"/>
        <w:pageBreakBefore w:val="0"/>
        <w:kinsoku/>
        <w:wordWrap/>
        <w:overflowPunct/>
        <w:topLinePunct w:val="0"/>
        <w:autoSpaceDE/>
        <w:autoSpaceDN/>
        <w:bidi w:val="0"/>
        <w:adjustRightInd/>
        <w:snapToGrid/>
        <w:spacing w:line="560" w:lineRule="exact"/>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持股比例：100%</w:t>
      </w:r>
    </w:p>
    <w:p>
      <w:pPr>
        <w:keepNext w:val="0"/>
        <w:keepLines w:val="0"/>
        <w:pageBreakBefore w:val="0"/>
        <w:kinsoku/>
        <w:wordWrap/>
        <w:overflowPunct/>
        <w:topLinePunct w:val="0"/>
        <w:autoSpaceDE/>
        <w:autoSpaceDN/>
        <w:bidi w:val="0"/>
        <w:adjustRightInd/>
        <w:snapToGrid/>
        <w:spacing w:line="560" w:lineRule="exact"/>
        <w:textAlignment w:val="auto"/>
        <w:rPr>
          <w:rFonts w:hint="default" w:ascii="仿宋_GB2312" w:eastAsia="仿宋_GB2312"/>
          <w:sz w:val="32"/>
          <w:szCs w:val="32"/>
          <w:lang w:val="en-US" w:eastAsia="zh-CN"/>
        </w:rPr>
      </w:pPr>
      <w:r>
        <w:rPr>
          <w:rFonts w:hint="eastAsia" w:ascii="仿宋_GB2312" w:eastAsia="仿宋_GB2312"/>
          <w:sz w:val="32"/>
          <w:szCs w:val="32"/>
        </w:rPr>
        <w:t>出资额：</w:t>
      </w:r>
      <w:r>
        <w:rPr>
          <w:rFonts w:hint="eastAsia" w:ascii="仿宋_GB2312" w:eastAsia="仿宋_GB2312"/>
          <w:sz w:val="32"/>
          <w:szCs w:val="32"/>
          <w:lang w:val="en-US" w:eastAsia="zh-CN"/>
        </w:rPr>
        <w:t>300万元</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eastAsia="仿宋_GB2312"/>
          <w:sz w:val="32"/>
          <w:szCs w:val="32"/>
        </w:rPr>
      </w:pPr>
      <w:r>
        <w:rPr>
          <w:rFonts w:hint="eastAsia" w:ascii="仿宋_GB2312" w:eastAsia="仿宋_GB2312"/>
          <w:sz w:val="32"/>
          <w:szCs w:val="32"/>
        </w:rPr>
        <w:t>公司治理及管理架构：</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公司设执行董事（总经理）一人，与山东省人力资源管理有限公司、山东省企业经理人才评价推荐中心有限公司合署办公。</w:t>
      </w:r>
    </w:p>
    <w:p>
      <w:pPr>
        <w:keepNext w:val="0"/>
        <w:keepLines w:val="0"/>
        <w:pageBreakBefore w:val="0"/>
        <w:numPr>
          <w:ilvl w:val="0"/>
          <w:numId w:val="1"/>
        </w:numPr>
        <w:kinsoku/>
        <w:wordWrap/>
        <w:overflowPunct/>
        <w:topLinePunct w:val="0"/>
        <w:autoSpaceDE/>
        <w:autoSpaceDN/>
        <w:bidi w:val="0"/>
        <w:adjustRightInd/>
        <w:snapToGrid/>
        <w:spacing w:line="560" w:lineRule="exact"/>
        <w:textAlignment w:val="auto"/>
        <w:rPr>
          <w:rFonts w:hint="eastAsia" w:ascii="黑体" w:eastAsia="黑体"/>
          <w:sz w:val="32"/>
          <w:szCs w:val="32"/>
        </w:rPr>
      </w:pPr>
      <w:r>
        <w:rPr>
          <w:rFonts w:hint="eastAsia" w:ascii="黑体" w:eastAsia="黑体"/>
          <w:sz w:val="32"/>
          <w:szCs w:val="32"/>
        </w:rPr>
        <w:t xml:space="preserve">企业重点经营情况 </w:t>
      </w:r>
    </w:p>
    <w:p>
      <w:pPr>
        <w:keepNext w:val="0"/>
        <w:keepLines w:val="0"/>
        <w:pageBreakBefore w:val="0"/>
        <w:widowControl/>
        <w:kinsoku/>
        <w:wordWrap/>
        <w:overflowPunct/>
        <w:topLinePunct w:val="0"/>
        <w:autoSpaceDE/>
        <w:autoSpaceDN/>
        <w:bidi w:val="0"/>
        <w:adjustRightInd w:val="0"/>
        <w:snapToGrid/>
        <w:spacing w:line="560" w:lineRule="exact"/>
        <w:ind w:firstLine="645"/>
        <w:textAlignment w:val="auto"/>
        <w:rPr>
          <w:rFonts w:hint="default" w:ascii="仿宋_GB2312" w:hAnsi="Calibri" w:eastAsia="仿宋_GB2312" w:cs="仿宋_GB2312"/>
          <w:color w:val="auto"/>
          <w:sz w:val="32"/>
          <w:szCs w:val="32"/>
          <w:lang w:val="en-US" w:eastAsia="zh-CN"/>
        </w:rPr>
      </w:pPr>
      <w:r>
        <w:rPr>
          <w:rFonts w:hint="eastAsia" w:ascii="仿宋_GB2312" w:hAnsi="仿宋_GB2312" w:eastAsia="仿宋_GB2312" w:cs="仿宋_GB2312"/>
          <w:sz w:val="32"/>
          <w:szCs w:val="32"/>
          <w:lang w:val="en-US" w:eastAsia="zh-CN"/>
        </w:rPr>
        <w:t>2023年，</w:t>
      </w:r>
      <w:r>
        <w:rPr>
          <w:rFonts w:hint="eastAsia" w:ascii="仿宋_GB2312" w:eastAsia="仿宋_GB2312"/>
          <w:sz w:val="32"/>
          <w:szCs w:val="32"/>
          <w:lang w:val="en-US" w:eastAsia="zh-CN"/>
        </w:rPr>
        <w:t>山东省企业培训考试中心有限公司积极外扩市场，多渠道寻求突破点，先后</w:t>
      </w:r>
      <w:r>
        <w:rPr>
          <w:rFonts w:hint="eastAsia" w:ascii="仿宋_GB2312" w:eastAsia="仿宋_GB2312"/>
          <w:color w:val="auto"/>
          <w:sz w:val="32"/>
          <w:szCs w:val="32"/>
          <w:lang w:val="en-US" w:eastAsia="zh-CN"/>
        </w:rPr>
        <w:t>与山东省总工会、济南市总工会签订了战略合作意向书，为工会会员单位提供培</w:t>
      </w:r>
      <w:bookmarkStart w:id="0" w:name="_GoBack"/>
      <w:bookmarkEnd w:id="0"/>
      <w:r>
        <w:rPr>
          <w:rFonts w:hint="eastAsia" w:ascii="仿宋_GB2312" w:eastAsia="仿宋_GB2312"/>
          <w:color w:val="auto"/>
          <w:sz w:val="32"/>
          <w:szCs w:val="32"/>
          <w:lang w:val="en-US" w:eastAsia="zh-CN"/>
        </w:rPr>
        <w:t>训及技能鉴定业务。</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黑体" w:eastAsia="黑体"/>
          <w:sz w:val="32"/>
          <w:szCs w:val="32"/>
        </w:rPr>
      </w:pPr>
      <w:r>
        <w:rPr>
          <w:rFonts w:hint="eastAsia" w:ascii="黑体" w:eastAsia="黑体"/>
          <w:sz w:val="32"/>
          <w:szCs w:val="32"/>
        </w:rPr>
        <w:t xml:space="preserve">三、公司重大事项 </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无</w:t>
      </w:r>
    </w:p>
    <w:p>
      <w:pPr>
        <w:keepNext w:val="0"/>
        <w:keepLines w:val="0"/>
        <w:pageBreakBefore w:val="0"/>
        <w:numPr>
          <w:ilvl w:val="0"/>
          <w:numId w:val="0"/>
        </w:numPr>
        <w:kinsoku/>
        <w:wordWrap/>
        <w:overflowPunct/>
        <w:topLinePunct w:val="0"/>
        <w:autoSpaceDE/>
        <w:autoSpaceDN/>
        <w:bidi w:val="0"/>
        <w:adjustRightInd/>
        <w:snapToGrid/>
        <w:spacing w:line="560" w:lineRule="exact"/>
        <w:ind w:leftChars="0"/>
        <w:textAlignment w:val="auto"/>
        <w:rPr>
          <w:rFonts w:hint="eastAsia" w:ascii="黑体" w:eastAsia="黑体"/>
          <w:sz w:val="32"/>
          <w:szCs w:val="32"/>
        </w:rPr>
      </w:pPr>
      <w:r>
        <w:rPr>
          <w:rFonts w:hint="eastAsia" w:ascii="黑体" w:eastAsia="黑体"/>
          <w:sz w:val="32"/>
          <w:szCs w:val="32"/>
          <w:lang w:val="en-US" w:eastAsia="zh-CN"/>
        </w:rPr>
        <w:t>四、</w:t>
      </w:r>
      <w:r>
        <w:rPr>
          <w:rFonts w:hint="eastAsia" w:ascii="黑体" w:eastAsia="黑体"/>
          <w:sz w:val="32"/>
          <w:szCs w:val="32"/>
        </w:rPr>
        <w:t>其他按照法律法规应当公开的信息</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20" w:firstLineChars="200"/>
        <w:jc w:val="left"/>
        <w:textAlignment w:val="auto"/>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无</w:t>
      </w:r>
    </w:p>
    <w:p/>
    <w:sectPr>
      <w:pgSz w:w="11906" w:h="16838"/>
      <w:pgMar w:top="1587" w:right="1417" w:bottom="1701"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F0E84A8-EA75-4442-B9AD-73C12E0CA4C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F194DED0-28D9-4E7C-85A7-33E5A96C38C1}"/>
  </w:font>
  <w:font w:name="仿宋_GB2312">
    <w:panose1 w:val="02010609030101010101"/>
    <w:charset w:val="86"/>
    <w:family w:val="modern"/>
    <w:pitch w:val="default"/>
    <w:sig w:usb0="00000001" w:usb1="080E0000" w:usb2="00000000" w:usb3="00000000" w:csb0="00040000" w:csb1="00000000"/>
    <w:embedRegular r:id="rId3" w:fontKey="{97680E12-FEB8-48A5-81AE-E7E379815BED}"/>
  </w:font>
  <w:font w:name="仿宋">
    <w:panose1 w:val="02010609060101010101"/>
    <w:charset w:val="86"/>
    <w:family w:val="auto"/>
    <w:pitch w:val="default"/>
    <w:sig w:usb0="800002BF" w:usb1="38CF7CFA" w:usb2="00000016" w:usb3="00000000" w:csb0="00040001" w:csb1="00000000"/>
    <w:embedRegular r:id="rId4" w:fontKey="{80CC22F7-5129-454A-9B1C-B1025D0D7925}"/>
  </w:font>
  <w:font w:name="楷体">
    <w:panose1 w:val="02010609060101010101"/>
    <w:charset w:val="86"/>
    <w:family w:val="auto"/>
    <w:pitch w:val="default"/>
    <w:sig w:usb0="800002BF" w:usb1="38CF7CFA" w:usb2="00000016" w:usb3="00000000" w:csb0="00040001" w:csb1="00000000"/>
    <w:embedRegular r:id="rId5" w:fontKey="{E6451DDF-668C-4AE5-8550-CFB571B0A728}"/>
  </w:font>
  <w:font w:name="方正大标宋简体">
    <w:panose1 w:val="02000000000000000000"/>
    <w:charset w:val="86"/>
    <w:family w:val="auto"/>
    <w:pitch w:val="default"/>
    <w:sig w:usb0="A00002BF" w:usb1="184F6CFA" w:usb2="00000012" w:usb3="00000000" w:csb0="00040001" w:csb1="00000000"/>
    <w:embedRegular r:id="rId6" w:fontKey="{3CE5CF7C-22B7-471A-9E34-7BE19BB0009E}"/>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E76424"/>
    <w:multiLevelType w:val="singleLevel"/>
    <w:tmpl w:val="A0E76424"/>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iYmE5MzVmMzI3MDlhOTlkNzA4OWViNmYyYTA5YzAifQ=="/>
  </w:docVars>
  <w:rsids>
    <w:rsidRoot w:val="00000000"/>
    <w:rsid w:val="08F01BAD"/>
    <w:rsid w:val="0A7E0439"/>
    <w:rsid w:val="17FA6804"/>
    <w:rsid w:val="17FD4AA8"/>
    <w:rsid w:val="302C07E6"/>
    <w:rsid w:val="3F6B6946"/>
    <w:rsid w:val="46F45AA6"/>
    <w:rsid w:val="4D5679DC"/>
    <w:rsid w:val="537E56B2"/>
    <w:rsid w:val="5D977C4D"/>
    <w:rsid w:val="60893568"/>
    <w:rsid w:val="63847205"/>
    <w:rsid w:val="69306F20"/>
    <w:rsid w:val="6B3262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427</Words>
  <Characters>468</Characters>
  <Lines>0</Lines>
  <Paragraphs>0</Paragraphs>
  <TotalTime>0</TotalTime>
  <ScaleCrop>false</ScaleCrop>
  <LinksUpToDate>false</LinksUpToDate>
  <CharactersWithSpaces>472</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2022-01-28T03:24:00Z</dcterms:created>
  <dc:creator>Administrator</dc:creator>
  <cp:lastModifiedBy>漫舞</cp:lastModifiedBy>
  <dcterms:modified xsi:type="dcterms:W3CDTF">2024-01-23T10:14:39Z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D4EF3463C767439B9DD8E5108E1A1AB7</vt:lpwstr>
  </property>
</Properties>
</file>